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90D6E5A" w14:textId="77777777" w:rsidR="00ED6F53" w:rsidRPr="00E03207" w:rsidRDefault="00ED6F53" w:rsidP="00E03207">
      <w:pPr>
        <w:jc w:val="both"/>
        <w:rPr>
          <w:rFonts w:ascii="Calibri" w:hAnsi="Calibri" w:cs="Calibri"/>
          <w:b/>
          <w:color w:val="404040" w:themeColor="text1" w:themeTint="BF"/>
          <w:sz w:val="22"/>
          <w:szCs w:val="22"/>
          <w:lang w:val="fr-CA"/>
        </w:rPr>
      </w:pPr>
    </w:p>
    <w:p w14:paraId="19FF8836" w14:textId="38AB3D06" w:rsidR="00E03207" w:rsidRPr="00E03207" w:rsidRDefault="00E03207" w:rsidP="00E03207">
      <w:pPr>
        <w:jc w:val="right"/>
        <w:rPr>
          <w:rFonts w:ascii="Calibri" w:hAnsi="Calibri" w:cs="Calibri"/>
          <w:b/>
          <w:color w:val="404040" w:themeColor="text1" w:themeTint="BF"/>
          <w:sz w:val="22"/>
          <w:szCs w:val="22"/>
          <w:lang w:val="fr-CA"/>
        </w:rPr>
      </w:pPr>
      <w:r w:rsidRPr="00E03207">
        <w:rPr>
          <w:rFonts w:ascii="Calibri" w:hAnsi="Calibri" w:cs="Calibri"/>
          <w:b/>
          <w:color w:val="404040" w:themeColor="text1" w:themeTint="BF"/>
          <w:sz w:val="22"/>
          <w:szCs w:val="22"/>
          <w:lang w:val="fr-CA"/>
        </w:rPr>
        <w:t>Communiqué de presse</w:t>
      </w:r>
    </w:p>
    <w:p w14:paraId="1C50DEAF" w14:textId="5762223B" w:rsidR="00E03207" w:rsidRPr="00E03207" w:rsidRDefault="00E03207" w:rsidP="00E03207">
      <w:pPr>
        <w:jc w:val="right"/>
        <w:rPr>
          <w:rFonts w:ascii="Calibri" w:hAnsi="Calibri" w:cs="Calibri"/>
          <w:i/>
          <w:color w:val="404040" w:themeColor="text1" w:themeTint="BF"/>
          <w:sz w:val="22"/>
          <w:szCs w:val="22"/>
          <w:lang w:val="fr-CA"/>
        </w:rPr>
      </w:pPr>
      <w:r w:rsidRPr="00E03207">
        <w:rPr>
          <w:rFonts w:ascii="Calibri" w:hAnsi="Calibri" w:cs="Calibri"/>
          <w:i/>
          <w:color w:val="404040" w:themeColor="text1" w:themeTint="BF"/>
          <w:sz w:val="22"/>
          <w:szCs w:val="22"/>
          <w:lang w:val="fr-CA"/>
        </w:rPr>
        <w:t>Pour diffusion immédiate</w:t>
      </w:r>
    </w:p>
    <w:p w14:paraId="13E90D71" w14:textId="77777777" w:rsidR="00E03207" w:rsidRDefault="00E03207" w:rsidP="00ED6F53">
      <w:pPr>
        <w:rPr>
          <w:rFonts w:ascii="Calibri" w:hAnsi="Calibri" w:cs="Calibri"/>
          <w:b/>
          <w:color w:val="621A4B"/>
          <w:sz w:val="36"/>
          <w:szCs w:val="36"/>
          <w:lang w:val="fr-CA"/>
        </w:rPr>
      </w:pPr>
    </w:p>
    <w:p w14:paraId="50034C8D" w14:textId="7ED3C020" w:rsidR="00E03207" w:rsidRPr="00044385" w:rsidRDefault="00250EDD" w:rsidP="00E03207">
      <w:pPr>
        <w:jc w:val="center"/>
        <w:rPr>
          <w:rFonts w:ascii="Calibri" w:hAnsi="Calibri" w:cs="Calibri"/>
          <w:b/>
          <w:color w:val="621A4B"/>
          <w:sz w:val="36"/>
          <w:szCs w:val="36"/>
          <w:lang w:val="fr-CA"/>
        </w:rPr>
      </w:pPr>
      <w:r>
        <w:rPr>
          <w:rFonts w:ascii="Calibri" w:hAnsi="Calibri" w:cs="Calibri"/>
          <w:b/>
          <w:color w:val="621A4B"/>
          <w:sz w:val="36"/>
          <w:szCs w:val="36"/>
          <w:lang w:val="fr-CA"/>
        </w:rPr>
        <w:t xml:space="preserve">TITRE ACCROCHEUR </w:t>
      </w:r>
    </w:p>
    <w:p w14:paraId="299CA6E0" w14:textId="281370DE" w:rsidR="00E03207" w:rsidRPr="00044385" w:rsidRDefault="00E03207" w:rsidP="00E03207">
      <w:pPr>
        <w:jc w:val="center"/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</w:pPr>
      <w:r w:rsidRPr="00044385">
        <w:rPr>
          <w:rFonts w:ascii="Calibri" w:hAnsi="Calibri" w:cs="Calibri"/>
          <w:bCs/>
          <w:i/>
          <w:iCs/>
          <w:color w:val="F2757A"/>
          <w:sz w:val="28"/>
          <w:szCs w:val="28"/>
          <w:highlight w:val="cyan"/>
          <w:lang w:val="fr-CA"/>
        </w:rPr>
        <w:t>[Nom de votre organisation]</w:t>
      </w:r>
      <w:r w:rsidRPr="00044385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 xml:space="preserve"> </w:t>
      </w:r>
      <w:r w:rsidR="00F1302F" w:rsidRPr="00044385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>invite les</w:t>
      </w:r>
      <w:r w:rsidRPr="00044385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 xml:space="preserve"> </w:t>
      </w:r>
      <w:r w:rsidRPr="00044385">
        <w:rPr>
          <w:rFonts w:ascii="Calibri" w:hAnsi="Calibri" w:cs="Calibri"/>
          <w:bCs/>
          <w:i/>
          <w:iCs/>
          <w:color w:val="F2757A"/>
          <w:sz w:val="28"/>
          <w:szCs w:val="28"/>
          <w:highlight w:val="cyan"/>
          <w:lang w:val="fr-CA"/>
        </w:rPr>
        <w:t>[gentilé de votre région]</w:t>
      </w:r>
      <w:r w:rsidRPr="00044385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 xml:space="preserve"> </w:t>
      </w:r>
      <w:r w:rsidR="00F1302F" w:rsidRPr="00044385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 xml:space="preserve">à </w:t>
      </w:r>
      <w:r w:rsidR="006774A1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>se mobiliser pour les</w:t>
      </w:r>
      <w:r w:rsidR="008B5E04" w:rsidRPr="00044385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 xml:space="preserve"> tout-petits </w:t>
      </w:r>
    </w:p>
    <w:p w14:paraId="79BA9732" w14:textId="77777777" w:rsidR="00E03207" w:rsidRPr="00E03207" w:rsidRDefault="00E03207" w:rsidP="00E03207">
      <w:pPr>
        <w:rPr>
          <w:rFonts w:asciiTheme="majorHAnsi" w:hAnsiTheme="majorHAnsi" w:cstheme="majorHAnsi"/>
          <w:color w:val="000000"/>
        </w:rPr>
      </w:pPr>
    </w:p>
    <w:p w14:paraId="1D71A0E3" w14:textId="71827358" w:rsidR="0004099F" w:rsidRDefault="00E03207" w:rsidP="00E0320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1F9A">
        <w:rPr>
          <w:rFonts w:asciiTheme="majorHAnsi" w:hAnsiTheme="majorHAnsi" w:cstheme="majorHAnsi"/>
          <w:b/>
          <w:color w:val="000000"/>
          <w:sz w:val="22"/>
          <w:szCs w:val="22"/>
          <w:highlight w:val="cyan"/>
        </w:rPr>
        <w:t>[Ville],</w:t>
      </w:r>
      <w:r w:rsidRPr="004A582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le </w:t>
      </w:r>
      <w:r w:rsidRPr="00E71F9A">
        <w:rPr>
          <w:rFonts w:asciiTheme="majorHAnsi" w:hAnsiTheme="majorHAnsi" w:cstheme="majorHAnsi"/>
          <w:b/>
          <w:color w:val="000000"/>
          <w:sz w:val="22"/>
          <w:szCs w:val="22"/>
          <w:highlight w:val="cyan"/>
        </w:rPr>
        <w:t>[date]</w:t>
      </w:r>
      <w:r w:rsidRPr="004A5822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CF1534">
        <w:rPr>
          <w:rFonts w:asciiTheme="majorHAnsi" w:hAnsiTheme="majorHAnsi" w:cstheme="majorHAnsi"/>
          <w:b/>
          <w:color w:val="000000"/>
          <w:sz w:val="22"/>
          <w:szCs w:val="22"/>
        </w:rPr>
        <w:t>novembre 20</w:t>
      </w:r>
      <w:r w:rsidR="008C2D28" w:rsidRPr="00CF1534">
        <w:rPr>
          <w:rFonts w:asciiTheme="majorHAnsi" w:hAnsiTheme="majorHAnsi" w:cstheme="majorHAnsi"/>
          <w:b/>
          <w:color w:val="000000"/>
          <w:sz w:val="22"/>
          <w:szCs w:val="22"/>
        </w:rPr>
        <w:t>2</w:t>
      </w:r>
      <w:r w:rsidR="00EE25C1">
        <w:rPr>
          <w:rFonts w:asciiTheme="majorHAnsi" w:hAnsiTheme="majorHAnsi" w:cstheme="majorHAnsi"/>
          <w:b/>
          <w:color w:val="000000"/>
          <w:sz w:val="22"/>
          <w:szCs w:val="22"/>
        </w:rPr>
        <w:t>4</w:t>
      </w:r>
      <w:r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 – </w:t>
      </w:r>
      <w:r w:rsidR="00EC15BA" w:rsidRPr="00CF1534">
        <w:rPr>
          <w:rFonts w:asciiTheme="majorHAnsi" w:hAnsiTheme="majorHAnsi" w:cstheme="majorHAnsi"/>
          <w:color w:val="000000"/>
          <w:sz w:val="22"/>
          <w:szCs w:val="22"/>
        </w:rPr>
        <w:t>Dans le cadre de la</w:t>
      </w:r>
      <w:r w:rsidR="008B5E04"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E25C1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="008B5E04" w:rsidRPr="00CF1534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e</w:t>
      </w:r>
      <w:r w:rsidR="008B5E04"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 édition de la Grande semaine des tout-petits</w:t>
      </w:r>
      <w:r w:rsidR="00E6400C"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 (GSTP)</w:t>
      </w:r>
      <w:r w:rsidR="008B5E04" w:rsidRPr="00CF1534">
        <w:rPr>
          <w:rFonts w:asciiTheme="majorHAnsi" w:hAnsiTheme="majorHAnsi" w:cstheme="majorHAnsi"/>
          <w:color w:val="000000"/>
          <w:sz w:val="22"/>
          <w:szCs w:val="22"/>
        </w:rPr>
        <w:t>, qui aura lieu du</w:t>
      </w:r>
      <w:r w:rsidR="00221202"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E25C1">
        <w:rPr>
          <w:rFonts w:asciiTheme="majorHAnsi" w:hAnsiTheme="majorHAnsi" w:cstheme="majorHAnsi"/>
          <w:color w:val="000000"/>
          <w:sz w:val="22"/>
          <w:szCs w:val="22"/>
        </w:rPr>
        <w:t>18</w:t>
      </w:r>
      <w:r w:rsidR="00221202"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 au 2</w:t>
      </w:r>
      <w:r w:rsidR="00EE25C1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Pr="00CF1534">
        <w:rPr>
          <w:rFonts w:asciiTheme="majorHAnsi" w:hAnsiTheme="majorHAnsi" w:cstheme="majorHAnsi"/>
          <w:color w:val="000000"/>
          <w:sz w:val="22"/>
          <w:szCs w:val="22"/>
        </w:rPr>
        <w:t xml:space="preserve"> novembre prochain,</w:t>
      </w:r>
      <w:r w:rsidRPr="00E0320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B5E04" w:rsidRPr="00FA1ADA">
        <w:rPr>
          <w:rFonts w:ascii="Calibri" w:hAnsi="Calibri" w:cs="Calibri"/>
          <w:color w:val="000000"/>
          <w:sz w:val="22"/>
          <w:szCs w:val="22"/>
          <w:highlight w:val="cyan"/>
        </w:rPr>
        <w:t>[Nom de votre organisation]</w:t>
      </w:r>
      <w:r w:rsidR="008B5E04" w:rsidRPr="00FA1AD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15BA" w:rsidRPr="00CF1534">
        <w:rPr>
          <w:rFonts w:ascii="Calibri" w:hAnsi="Calibri" w:cs="Calibri"/>
          <w:color w:val="000000"/>
          <w:sz w:val="22"/>
          <w:szCs w:val="22"/>
        </w:rPr>
        <w:t xml:space="preserve">se joint au mouvement collectif pour </w:t>
      </w:r>
      <w:r w:rsidR="008B5E04" w:rsidRPr="00CF1534">
        <w:rPr>
          <w:rFonts w:ascii="Calibri" w:hAnsi="Calibri" w:cs="Calibri"/>
          <w:color w:val="000000"/>
          <w:sz w:val="22"/>
          <w:szCs w:val="22"/>
        </w:rPr>
        <w:t xml:space="preserve">faire de la petite enfance une priorité de société. </w:t>
      </w:r>
      <w:r w:rsidR="00EC15BA" w:rsidRPr="00CF1534">
        <w:rPr>
          <w:rFonts w:ascii="Calibri" w:hAnsi="Calibri" w:cs="Calibri"/>
          <w:color w:val="000000"/>
          <w:sz w:val="22"/>
          <w:szCs w:val="22"/>
        </w:rPr>
        <w:t xml:space="preserve">Durant cette semaine, c’est tout le Québec qui se mobilise pour offrir une voix aux </w:t>
      </w:r>
      <w:r w:rsidR="00EE25C1">
        <w:rPr>
          <w:rFonts w:ascii="Calibri" w:hAnsi="Calibri" w:cs="Calibri"/>
          <w:color w:val="000000"/>
          <w:sz w:val="22"/>
          <w:szCs w:val="22"/>
        </w:rPr>
        <w:t>514 747</w:t>
      </w:r>
      <w:r w:rsidR="00EC15BA" w:rsidRPr="00CF1534">
        <w:rPr>
          <w:rFonts w:ascii="Calibri" w:hAnsi="Calibri" w:cs="Calibri"/>
          <w:color w:val="000000"/>
          <w:sz w:val="22"/>
          <w:szCs w:val="22"/>
        </w:rPr>
        <w:t xml:space="preserve"> tout-petits de 0 à 5 ans de la province. En</w:t>
      </w:r>
      <w:r w:rsidR="00EC15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15BA" w:rsidRPr="00FA1ADA">
        <w:rPr>
          <w:rFonts w:ascii="Calibri" w:hAnsi="Calibri" w:cs="Calibri"/>
          <w:color w:val="000000"/>
          <w:sz w:val="22"/>
          <w:szCs w:val="22"/>
          <w:highlight w:val="cyan"/>
        </w:rPr>
        <w:t xml:space="preserve">[Nom de votre </w:t>
      </w:r>
      <w:r w:rsidR="00EC15BA">
        <w:rPr>
          <w:rFonts w:ascii="Calibri" w:hAnsi="Calibri" w:cs="Calibri"/>
          <w:color w:val="000000"/>
          <w:sz w:val="22"/>
          <w:szCs w:val="22"/>
          <w:highlight w:val="cyan"/>
        </w:rPr>
        <w:t>région</w:t>
      </w:r>
      <w:r w:rsidR="00EC15BA" w:rsidRPr="00FA1ADA">
        <w:rPr>
          <w:rFonts w:ascii="Calibri" w:hAnsi="Calibri" w:cs="Calibri"/>
          <w:color w:val="000000"/>
          <w:sz w:val="22"/>
          <w:szCs w:val="22"/>
          <w:highlight w:val="cyan"/>
        </w:rPr>
        <w:t>]</w:t>
      </w:r>
      <w:r w:rsidR="004F6F21">
        <w:rPr>
          <w:rFonts w:ascii="Calibri" w:hAnsi="Calibri" w:cs="Calibri"/>
          <w:color w:val="000000"/>
          <w:sz w:val="22"/>
          <w:szCs w:val="22"/>
        </w:rPr>
        <w:t>,</w:t>
      </w:r>
      <w:r w:rsidR="00EC15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15BA" w:rsidRPr="00CF1534">
        <w:rPr>
          <w:rFonts w:ascii="Calibri" w:hAnsi="Calibri" w:cs="Calibri"/>
          <w:color w:val="000000"/>
          <w:sz w:val="22"/>
          <w:szCs w:val="22"/>
        </w:rPr>
        <w:t>ce sont</w:t>
      </w:r>
      <w:r w:rsidR="00EC15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15BA">
        <w:rPr>
          <w:rFonts w:ascii="Calibri" w:hAnsi="Calibri" w:cs="Calibri"/>
          <w:b/>
          <w:color w:val="000000"/>
          <w:sz w:val="22"/>
          <w:szCs w:val="22"/>
          <w:highlight w:val="cyan"/>
        </w:rPr>
        <w:t>[</w:t>
      </w:r>
      <w:r w:rsidR="00EC15BA" w:rsidRPr="00FA1ADA">
        <w:rPr>
          <w:rFonts w:ascii="Calibri" w:hAnsi="Calibri" w:cs="Calibri"/>
          <w:color w:val="000000"/>
          <w:sz w:val="22"/>
          <w:szCs w:val="22"/>
          <w:highlight w:val="cyan"/>
        </w:rPr>
        <w:t>XX tout-petits de votre région</w:t>
      </w:r>
      <w:r w:rsidR="00EC15BA" w:rsidRPr="00FA1ADA">
        <w:rPr>
          <w:rFonts w:ascii="Calibri" w:hAnsi="Calibri" w:cs="Calibri"/>
          <w:color w:val="000000"/>
          <w:sz w:val="22"/>
          <w:szCs w:val="22"/>
        </w:rPr>
        <w:t>]</w:t>
      </w:r>
      <w:r w:rsidR="00EC15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15BA" w:rsidRPr="00CF1534">
        <w:rPr>
          <w:rFonts w:ascii="Calibri" w:hAnsi="Calibri" w:cs="Calibri"/>
          <w:color w:val="000000"/>
          <w:sz w:val="22"/>
          <w:szCs w:val="22"/>
        </w:rPr>
        <w:t>qui grandissent pour devenir les adultes de demain</w:t>
      </w:r>
      <w:r w:rsidR="002E4648" w:rsidRPr="00CF1534">
        <w:rPr>
          <w:rFonts w:ascii="Calibri" w:hAnsi="Calibri" w:cs="Calibri"/>
          <w:color w:val="000000"/>
          <w:sz w:val="22"/>
          <w:szCs w:val="22"/>
        </w:rPr>
        <w:t xml:space="preserve">. Malheureusement, tous n’ont pas les mêmes chances de </w:t>
      </w:r>
      <w:r w:rsidR="00574427" w:rsidRPr="00CF1534">
        <w:rPr>
          <w:rFonts w:ascii="Calibri" w:hAnsi="Calibri" w:cs="Calibri"/>
          <w:color w:val="000000"/>
          <w:sz w:val="22"/>
          <w:szCs w:val="22"/>
        </w:rPr>
        <w:t>se développer</w:t>
      </w:r>
      <w:r w:rsidR="002E4648" w:rsidRPr="00CF1534">
        <w:rPr>
          <w:rFonts w:ascii="Calibri" w:hAnsi="Calibri" w:cs="Calibri"/>
          <w:color w:val="000000"/>
          <w:sz w:val="22"/>
          <w:szCs w:val="22"/>
        </w:rPr>
        <w:t xml:space="preserve"> pleinement.</w:t>
      </w:r>
    </w:p>
    <w:p w14:paraId="4B53CE1A" w14:textId="77777777" w:rsidR="0004099F" w:rsidRDefault="0004099F" w:rsidP="00E0320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94D4BE6" w14:textId="62BD1CE7" w:rsidR="00EE25C1" w:rsidRPr="00AF72D6" w:rsidRDefault="002E4648" w:rsidP="00EE25C1">
      <w:pPr>
        <w:jc w:val="both"/>
        <w:rPr>
          <w:rFonts w:ascii="Calibri" w:hAnsi="Calibri" w:cs="Calibri"/>
          <w:bCs/>
          <w:sz w:val="22"/>
          <w:szCs w:val="22"/>
          <w:lang w:val="fr-CA"/>
        </w:rPr>
      </w:pPr>
      <w:r w:rsidRPr="00CF1534">
        <w:rPr>
          <w:rFonts w:ascii="Calibri" w:hAnsi="Calibri" w:cs="Calibri"/>
          <w:color w:val="000000"/>
          <w:sz w:val="22"/>
          <w:szCs w:val="22"/>
        </w:rPr>
        <w:t>Cette année, l’événement se déroule sous le thème</w:t>
      </w:r>
      <w:r w:rsidR="00EE25C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25C1" w:rsidRPr="00EE25C1">
        <w:rPr>
          <w:rFonts w:ascii="Calibri" w:hAnsi="Calibri" w:cs="Calibri"/>
          <w:b/>
          <w:bCs/>
          <w:color w:val="000000"/>
          <w:sz w:val="22"/>
          <w:szCs w:val="22"/>
        </w:rPr>
        <w:t xml:space="preserve">Ensemble, pour l’égalité des chances dans tous les milieux. Pour que chaque tout-petit s’épanouisse pleinement. </w:t>
      </w:r>
      <w:r w:rsidRPr="00EE25C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E25C1" w:rsidRPr="00EE25C1">
        <w:rPr>
          <w:rFonts w:ascii="Calibri" w:hAnsi="Calibri" w:cs="Calibri"/>
          <w:color w:val="000000"/>
          <w:sz w:val="22"/>
          <w:szCs w:val="22"/>
        </w:rPr>
        <w:t>En effet,</w:t>
      </w:r>
      <w:r w:rsidR="00EE25C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E25C1">
        <w:rPr>
          <w:rFonts w:ascii="Calibri" w:hAnsi="Calibri" w:cs="Calibri"/>
          <w:bCs/>
          <w:sz w:val="22"/>
          <w:szCs w:val="22"/>
          <w:lang w:val="fr-CA"/>
        </w:rPr>
        <w:t>t</w:t>
      </w:r>
      <w:r w:rsidR="00EE25C1" w:rsidRPr="00AF72D6">
        <w:rPr>
          <w:rFonts w:ascii="Calibri" w:hAnsi="Calibri" w:cs="Calibri"/>
          <w:bCs/>
          <w:sz w:val="22"/>
          <w:szCs w:val="22"/>
          <w:lang w:val="fr-CA"/>
        </w:rPr>
        <w:t>ous les enfants devraient avoir les mêmes opportunités de s’épanouir pleinement, sans égard aux milieux où ils naissent et grandissent.</w:t>
      </w:r>
    </w:p>
    <w:p w14:paraId="4360E7C9" w14:textId="77A8F012" w:rsidR="00163155" w:rsidRDefault="00163155" w:rsidP="00E03207">
      <w:pPr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3BE93938" w14:textId="31AF43E0" w:rsidR="004F6F21" w:rsidRPr="003629D9" w:rsidRDefault="004F6F21" w:rsidP="00E0320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629D9">
        <w:rPr>
          <w:rFonts w:ascii="Calibri" w:hAnsi="Calibri" w:cs="Calibri"/>
          <w:b/>
          <w:bCs/>
          <w:color w:val="000000"/>
          <w:sz w:val="22"/>
          <w:szCs w:val="22"/>
        </w:rPr>
        <w:t xml:space="preserve">Enjeux </w:t>
      </w:r>
      <w:proofErr w:type="gramStart"/>
      <w:r w:rsidRPr="003629D9">
        <w:rPr>
          <w:rFonts w:ascii="Calibri" w:hAnsi="Calibri" w:cs="Calibri"/>
          <w:b/>
          <w:bCs/>
          <w:color w:val="000000"/>
          <w:sz w:val="22"/>
          <w:szCs w:val="22"/>
        </w:rPr>
        <w:t>aux niveaux territorial</w:t>
      </w:r>
      <w:proofErr w:type="gramEnd"/>
      <w:r w:rsidRPr="003629D9">
        <w:rPr>
          <w:rFonts w:ascii="Calibri" w:hAnsi="Calibri" w:cs="Calibri"/>
          <w:b/>
          <w:bCs/>
          <w:color w:val="000000"/>
          <w:sz w:val="22"/>
          <w:szCs w:val="22"/>
        </w:rPr>
        <w:t xml:space="preserve"> et social</w:t>
      </w:r>
    </w:p>
    <w:p w14:paraId="621DECC0" w14:textId="77777777" w:rsidR="004F6F21" w:rsidRPr="003629D9" w:rsidRDefault="004F6F21" w:rsidP="004F6F2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fr-FR"/>
        </w:rPr>
      </w:pPr>
      <w:r w:rsidRPr="003629D9">
        <w:rPr>
          <w:rFonts w:asciiTheme="majorHAnsi" w:eastAsia="Times New Roman" w:hAnsiTheme="majorHAnsi" w:cstheme="majorHAnsi"/>
          <w:color w:val="000000"/>
          <w:sz w:val="22"/>
          <w:szCs w:val="22"/>
          <w:lang w:eastAsia="fr-FR"/>
        </w:rPr>
        <w:t>Certaines régions du Québec, comme la Côte-Nord, l'Estrie, Laval et l'Outaouais, montrent une proportion alarmante d'enfants vulnérables dans leur développement. Les enfants vivant en milieu rural sont particulièrement à risque, avec une probabilité nettement plus élevée d'intervention de la Direction de la protection de la jeunesse, soulignant l'importance de mesures adaptées pour ces communautés.</w:t>
      </w:r>
    </w:p>
    <w:p w14:paraId="31106C26" w14:textId="77777777" w:rsidR="004F6F21" w:rsidRPr="003629D9" w:rsidRDefault="004F6F21" w:rsidP="004F6F21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fr-FR"/>
        </w:rPr>
      </w:pPr>
    </w:p>
    <w:p w14:paraId="40E18F95" w14:textId="415EC35A" w:rsidR="00EE25C1" w:rsidRDefault="004F6F21" w:rsidP="00E03207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fr-FR"/>
        </w:rPr>
      </w:pPr>
      <w:r w:rsidRPr="003629D9">
        <w:rPr>
          <w:rFonts w:asciiTheme="majorHAnsi" w:eastAsia="Times New Roman" w:hAnsiTheme="majorHAnsi" w:cstheme="majorHAnsi"/>
          <w:color w:val="000000"/>
          <w:sz w:val="22"/>
          <w:szCs w:val="22"/>
          <w:lang w:eastAsia="fr-FR"/>
        </w:rPr>
        <w:t>Sur le plan social, les enfants issus de ménages à faible revenu ou vivant dans des quartiers défavorisés font face à des défis considérables, augmentant significativement leur risque d'être impliqués dans des interventions liées à la protection de la jeunesse. Pour contrer ces inégalités, il est crucial de mettre en place des mesures ciblées, comme un accompagnement dès la grossesse, l'accès à des services de garde de qualité, et des soins de santé adaptés, pour offrir à chaque enfant les meilleures chances de réussir.</w:t>
      </w:r>
    </w:p>
    <w:p w14:paraId="583C9CCD" w14:textId="77777777" w:rsidR="00EE25C1" w:rsidRPr="002E4648" w:rsidRDefault="00EE25C1" w:rsidP="00E03207">
      <w:pPr>
        <w:jc w:val="both"/>
        <w:rPr>
          <w:rFonts w:ascii="Calibri" w:hAnsi="Calibri" w:cs="Calibri"/>
          <w:sz w:val="22"/>
          <w:szCs w:val="22"/>
          <w:lang w:val="fr-CA"/>
        </w:rPr>
      </w:pPr>
    </w:p>
    <w:p w14:paraId="7A84959D" w14:textId="06D4AB3F" w:rsidR="00E03207" w:rsidRPr="00E03207" w:rsidRDefault="00E03207" w:rsidP="00E0320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03207">
        <w:rPr>
          <w:rFonts w:ascii="Calibri" w:hAnsi="Calibri" w:cs="Calibri"/>
          <w:color w:val="000000"/>
          <w:sz w:val="22"/>
          <w:szCs w:val="22"/>
        </w:rPr>
        <w:t xml:space="preserve">« </w:t>
      </w:r>
      <w:r w:rsidR="004A5822" w:rsidRPr="004A5822">
        <w:rPr>
          <w:rFonts w:ascii="Calibri" w:hAnsi="Calibri" w:cs="Calibri"/>
          <w:color w:val="000000"/>
          <w:sz w:val="22"/>
          <w:szCs w:val="22"/>
          <w:highlight w:val="cyan"/>
        </w:rPr>
        <w:t>I</w:t>
      </w:r>
      <w:r w:rsidR="000A26D6" w:rsidRPr="004A5822">
        <w:rPr>
          <w:rFonts w:ascii="Calibri" w:hAnsi="Calibri" w:cs="Calibri"/>
          <w:color w:val="000000"/>
          <w:sz w:val="22"/>
          <w:szCs w:val="22"/>
          <w:highlight w:val="cyan"/>
        </w:rPr>
        <w:t xml:space="preserve">nsérer </w:t>
      </w:r>
      <w:r w:rsidR="006F7C07" w:rsidRPr="004A5822">
        <w:rPr>
          <w:rFonts w:ascii="Calibri" w:hAnsi="Calibri" w:cs="Calibri"/>
          <w:color w:val="000000"/>
          <w:sz w:val="22"/>
          <w:szCs w:val="22"/>
          <w:highlight w:val="cyan"/>
        </w:rPr>
        <w:t>une citation</w:t>
      </w:r>
      <w:r w:rsidRPr="00E03207">
        <w:rPr>
          <w:rFonts w:ascii="Calibri" w:hAnsi="Calibri" w:cs="Calibri"/>
          <w:color w:val="000000"/>
          <w:sz w:val="22"/>
          <w:szCs w:val="22"/>
        </w:rPr>
        <w:t xml:space="preserve"> », </w:t>
      </w:r>
      <w:r w:rsidRPr="00E03207">
        <w:rPr>
          <w:rFonts w:ascii="Calibri" w:hAnsi="Calibri" w:cs="Calibri"/>
          <w:sz w:val="22"/>
          <w:szCs w:val="22"/>
        </w:rPr>
        <w:t xml:space="preserve">souligne </w:t>
      </w:r>
      <w:r w:rsidRPr="008C2D2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[Nom et titre du porte-parole de votre organisation]. </w:t>
      </w:r>
    </w:p>
    <w:p w14:paraId="4B6CB43A" w14:textId="77777777" w:rsidR="00E03207" w:rsidRPr="00E03207" w:rsidRDefault="00E03207" w:rsidP="00E0320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4AE938" w14:textId="3DFDB361" w:rsidR="00E03207" w:rsidRPr="00E03207" w:rsidRDefault="00E03207" w:rsidP="00E0320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530AF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proofErr w:type="gramStart"/>
      <w:r w:rsidRPr="002530AF">
        <w:rPr>
          <w:rFonts w:ascii="Calibri" w:hAnsi="Calibri" w:cs="Calibri"/>
          <w:i/>
          <w:color w:val="000000"/>
          <w:sz w:val="22"/>
          <w:szCs w:val="22"/>
          <w:highlight w:val="cyan"/>
        </w:rPr>
        <w:t>insérer</w:t>
      </w:r>
      <w:proofErr w:type="gramEnd"/>
      <w:r w:rsidRPr="002530AF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 ici les actions concrètes qui sont faites dans votre région afin de contribuer au développement des tout-petit</w:t>
      </w:r>
      <w:r w:rsidRPr="004A5822">
        <w:rPr>
          <w:rFonts w:ascii="Calibri" w:hAnsi="Calibri" w:cs="Calibri"/>
          <w:i/>
          <w:color w:val="000000"/>
          <w:sz w:val="22"/>
          <w:szCs w:val="22"/>
          <w:highlight w:val="cyan"/>
        </w:rPr>
        <w:t>s</w:t>
      </w:r>
      <w:r w:rsidR="003E67F7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 et au respect de leurs droits</w:t>
      </w:r>
      <w:r w:rsidRPr="004A5822">
        <w:rPr>
          <w:rFonts w:ascii="Calibri" w:hAnsi="Calibri" w:cs="Calibri"/>
          <w:i/>
          <w:color w:val="000000"/>
          <w:sz w:val="22"/>
          <w:szCs w:val="22"/>
          <w:highlight w:val="cyan"/>
        </w:rPr>
        <w:t>].</w:t>
      </w:r>
    </w:p>
    <w:p w14:paraId="3C63BBEC" w14:textId="77777777" w:rsidR="0004099F" w:rsidRDefault="0004099F" w:rsidP="00E0320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98129E1" w14:textId="5E9605A7" w:rsidR="00E03207" w:rsidRPr="00044385" w:rsidRDefault="00E03207" w:rsidP="00E0320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03207">
        <w:rPr>
          <w:rFonts w:ascii="Calibri" w:hAnsi="Calibri" w:cs="Calibri"/>
          <w:b/>
          <w:color w:val="000000"/>
          <w:sz w:val="22"/>
          <w:szCs w:val="22"/>
        </w:rPr>
        <w:t xml:space="preserve">Des activités partout au Québec et </w:t>
      </w:r>
      <w:r w:rsidRPr="008C2D28">
        <w:rPr>
          <w:rFonts w:ascii="Calibri" w:hAnsi="Calibri" w:cs="Calibri"/>
          <w:b/>
          <w:color w:val="000000"/>
          <w:sz w:val="22"/>
          <w:szCs w:val="22"/>
          <w:highlight w:val="cyan"/>
        </w:rPr>
        <w:t>[en région/à ville]</w:t>
      </w:r>
    </w:p>
    <w:p w14:paraId="63BEDEEE" w14:textId="77777777" w:rsidR="00044385" w:rsidRPr="00E03207" w:rsidRDefault="00E03207" w:rsidP="0004438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03207">
        <w:rPr>
          <w:rFonts w:ascii="Calibri" w:hAnsi="Calibri" w:cs="Calibri"/>
          <w:color w:val="000000"/>
          <w:sz w:val="22"/>
          <w:szCs w:val="22"/>
        </w:rPr>
        <w:t xml:space="preserve">Plusieurs activités se dérouleront simultanément tout au long de la semaine à travers le Québec afin de sensibiliser les décideurs et la population quant au rôle clé des tout-petits dans l’avenir de la société. </w:t>
      </w:r>
      <w:r w:rsidR="00044385" w:rsidRPr="00E03207">
        <w:rPr>
          <w:rFonts w:ascii="Calibri" w:hAnsi="Calibri" w:cs="Calibri"/>
          <w:color w:val="000000"/>
          <w:sz w:val="22"/>
          <w:szCs w:val="22"/>
        </w:rPr>
        <w:t xml:space="preserve">La Grande semaine des tout-petits représente le moment tout indiqué pour se rassembler et réfléchir aux conditions de vie des enfants de 0 à 5 ans. </w:t>
      </w:r>
      <w:r w:rsidR="00044385" w:rsidRPr="008C2D28">
        <w:rPr>
          <w:rFonts w:ascii="Calibri" w:hAnsi="Calibri" w:cs="Calibri"/>
          <w:color w:val="000000"/>
          <w:sz w:val="22"/>
          <w:szCs w:val="22"/>
          <w:highlight w:val="cyan"/>
        </w:rPr>
        <w:t>[Ajouter de l’information sur vos activités]</w:t>
      </w:r>
    </w:p>
    <w:p w14:paraId="0878B488" w14:textId="0F20F8C9" w:rsidR="00E03207" w:rsidRPr="00E03207" w:rsidRDefault="00E03207" w:rsidP="00E03207">
      <w:pPr>
        <w:spacing w:before="280"/>
        <w:jc w:val="both"/>
        <w:rPr>
          <w:rFonts w:ascii="Calibri" w:hAnsi="Calibri" w:cs="Calibri"/>
          <w:sz w:val="22"/>
          <w:szCs w:val="22"/>
        </w:rPr>
      </w:pPr>
      <w:r w:rsidRPr="00A571A2">
        <w:rPr>
          <w:rFonts w:ascii="Calibri" w:hAnsi="Calibri" w:cs="Calibri"/>
          <w:sz w:val="22"/>
          <w:szCs w:val="22"/>
        </w:rPr>
        <w:t>Pour consulter la programmation de la Grande semaine des tout-petits, visitez le</w:t>
      </w:r>
      <w:r w:rsidR="00F1302F" w:rsidRPr="00A571A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F1302F" w:rsidRPr="00A571A2">
          <w:rPr>
            <w:rStyle w:val="Hyperlink"/>
            <w:rFonts w:ascii="Calibri" w:hAnsi="Calibri" w:cs="Calibri"/>
            <w:sz w:val="22"/>
            <w:szCs w:val="22"/>
          </w:rPr>
          <w:t>grandesemaine.com</w:t>
        </w:r>
      </w:hyperlink>
      <w:r w:rsidR="00F1302F" w:rsidRPr="00A571A2">
        <w:rPr>
          <w:rFonts w:ascii="Calibri" w:hAnsi="Calibri" w:cs="Calibri"/>
          <w:sz w:val="22"/>
          <w:szCs w:val="22"/>
        </w:rPr>
        <w:t>.</w:t>
      </w:r>
    </w:p>
    <w:p w14:paraId="19B277B0" w14:textId="77777777" w:rsidR="00E03207" w:rsidRPr="008C2D28" w:rsidRDefault="00E03207" w:rsidP="00E03207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  <w:r w:rsidRPr="00E03207">
        <w:rPr>
          <w:rFonts w:ascii="Calibri" w:hAnsi="Calibri" w:cs="Calibri"/>
          <w:b/>
          <w:sz w:val="22"/>
          <w:szCs w:val="22"/>
        </w:rPr>
        <w:br/>
        <w:t xml:space="preserve">À propos de </w:t>
      </w:r>
      <w:r w:rsidRPr="008C2D28">
        <w:rPr>
          <w:rFonts w:ascii="Calibri" w:hAnsi="Calibri" w:cs="Calibri"/>
          <w:b/>
          <w:sz w:val="22"/>
          <w:szCs w:val="22"/>
          <w:highlight w:val="cyan"/>
        </w:rPr>
        <w:t>[</w:t>
      </w:r>
      <w:r w:rsidRPr="00F1302F">
        <w:rPr>
          <w:rFonts w:ascii="Calibri" w:hAnsi="Calibri" w:cs="Calibri"/>
          <w:b/>
          <w:sz w:val="22"/>
          <w:szCs w:val="22"/>
          <w:highlight w:val="cyan"/>
        </w:rPr>
        <w:t>votre organisation</w:t>
      </w:r>
      <w:r w:rsidRPr="008C2D28">
        <w:rPr>
          <w:rFonts w:ascii="Calibri" w:hAnsi="Calibri" w:cs="Calibri"/>
          <w:b/>
          <w:sz w:val="22"/>
          <w:szCs w:val="22"/>
          <w:highlight w:val="cyan"/>
        </w:rPr>
        <w:t>]</w:t>
      </w:r>
    </w:p>
    <w:p w14:paraId="6EA649D7" w14:textId="77777777" w:rsidR="00E03207" w:rsidRPr="00E03207" w:rsidRDefault="00E03207" w:rsidP="00E03207">
      <w:pPr>
        <w:rPr>
          <w:rFonts w:ascii="Calibri" w:hAnsi="Calibri" w:cs="Calibri"/>
          <w:sz w:val="22"/>
          <w:szCs w:val="22"/>
        </w:rPr>
      </w:pPr>
      <w:r w:rsidRPr="008C2D28">
        <w:rPr>
          <w:rFonts w:ascii="Calibri" w:hAnsi="Calibri" w:cs="Calibri"/>
          <w:sz w:val="22"/>
          <w:szCs w:val="22"/>
          <w:highlight w:val="cyan"/>
        </w:rPr>
        <w:lastRenderedPageBreak/>
        <w:t>[</w:t>
      </w:r>
      <w:r w:rsidRPr="00F1302F">
        <w:rPr>
          <w:rFonts w:ascii="Calibri" w:hAnsi="Calibri" w:cs="Calibri"/>
          <w:i/>
          <w:sz w:val="22"/>
          <w:szCs w:val="22"/>
          <w:highlight w:val="cyan"/>
        </w:rPr>
        <w:t>Insérer ici la description de votre organisation</w:t>
      </w:r>
      <w:r w:rsidRPr="008C2D28">
        <w:rPr>
          <w:rFonts w:ascii="Calibri" w:hAnsi="Calibri" w:cs="Calibri"/>
          <w:sz w:val="22"/>
          <w:szCs w:val="22"/>
          <w:highlight w:val="cyan"/>
        </w:rPr>
        <w:t>]</w:t>
      </w:r>
    </w:p>
    <w:p w14:paraId="2B811519" w14:textId="77777777" w:rsidR="008C2D28" w:rsidRDefault="008C2D28" w:rsidP="00E03207">
      <w:pPr>
        <w:jc w:val="both"/>
        <w:rPr>
          <w:rFonts w:ascii="Calibri" w:hAnsi="Calibri" w:cs="Calibri"/>
          <w:b/>
          <w:sz w:val="22"/>
          <w:szCs w:val="22"/>
        </w:rPr>
      </w:pPr>
    </w:p>
    <w:p w14:paraId="7C6BB211" w14:textId="3916672E" w:rsidR="00E03207" w:rsidRPr="00E03207" w:rsidRDefault="00E03207" w:rsidP="00E03207">
      <w:pPr>
        <w:jc w:val="both"/>
        <w:rPr>
          <w:rFonts w:ascii="Calibri" w:hAnsi="Calibri" w:cs="Calibri"/>
          <w:sz w:val="22"/>
          <w:szCs w:val="22"/>
        </w:rPr>
      </w:pPr>
      <w:r w:rsidRPr="00E03207">
        <w:rPr>
          <w:rFonts w:ascii="Calibri" w:hAnsi="Calibri" w:cs="Calibri"/>
          <w:b/>
          <w:sz w:val="22"/>
          <w:szCs w:val="22"/>
        </w:rPr>
        <w:t>À propos de la Grande semaine des tout-petits</w:t>
      </w:r>
    </w:p>
    <w:p w14:paraId="4A9B24D8" w14:textId="073BC25C" w:rsidR="00E03207" w:rsidRDefault="008C2D28" w:rsidP="00E03207">
      <w:pPr>
        <w:jc w:val="both"/>
        <w:rPr>
          <w:rFonts w:ascii="Calibri" w:hAnsi="Calibri" w:cs="Calibri"/>
          <w:sz w:val="22"/>
          <w:szCs w:val="22"/>
        </w:rPr>
      </w:pPr>
      <w:r w:rsidRPr="00EE7E2B">
        <w:rPr>
          <w:rFonts w:ascii="Calibri" w:hAnsi="Calibri" w:cs="Calibri"/>
          <w:sz w:val="22"/>
          <w:szCs w:val="22"/>
        </w:rPr>
        <w:t xml:space="preserve">Du </w:t>
      </w:r>
      <w:r w:rsidR="00EE25C1">
        <w:rPr>
          <w:rFonts w:ascii="Calibri" w:hAnsi="Calibri" w:cs="Calibri"/>
          <w:sz w:val="22"/>
          <w:szCs w:val="22"/>
        </w:rPr>
        <w:t>18</w:t>
      </w:r>
      <w:r w:rsidR="00F1302F" w:rsidRPr="00EE7E2B">
        <w:rPr>
          <w:rFonts w:ascii="Calibri" w:hAnsi="Calibri" w:cs="Calibri"/>
          <w:sz w:val="22"/>
          <w:szCs w:val="22"/>
        </w:rPr>
        <w:t xml:space="preserve"> au 2</w:t>
      </w:r>
      <w:r w:rsidR="00EE25C1">
        <w:rPr>
          <w:rFonts w:ascii="Calibri" w:hAnsi="Calibri" w:cs="Calibri"/>
          <w:sz w:val="22"/>
          <w:szCs w:val="22"/>
        </w:rPr>
        <w:t>4</w:t>
      </w:r>
      <w:r w:rsidR="00F1302F" w:rsidRPr="00EE7E2B">
        <w:rPr>
          <w:rFonts w:ascii="Calibri" w:hAnsi="Calibri" w:cs="Calibri"/>
          <w:sz w:val="22"/>
          <w:szCs w:val="22"/>
        </w:rPr>
        <w:t xml:space="preserve"> novembre 202</w:t>
      </w:r>
      <w:r w:rsidR="00EE25C1">
        <w:rPr>
          <w:rFonts w:ascii="Calibri" w:hAnsi="Calibri" w:cs="Calibri"/>
          <w:sz w:val="22"/>
          <w:szCs w:val="22"/>
        </w:rPr>
        <w:t>4</w:t>
      </w:r>
      <w:r w:rsidR="00E03207" w:rsidRPr="00EE7E2B">
        <w:rPr>
          <w:rFonts w:ascii="Calibri" w:hAnsi="Calibri" w:cs="Calibri"/>
          <w:sz w:val="22"/>
          <w:szCs w:val="22"/>
        </w:rPr>
        <w:t>, la</w:t>
      </w:r>
      <w:r w:rsidR="00E03207" w:rsidRPr="00A571A2">
        <w:rPr>
          <w:rFonts w:ascii="Calibri" w:hAnsi="Calibri" w:cs="Calibri"/>
          <w:sz w:val="22"/>
          <w:szCs w:val="22"/>
        </w:rPr>
        <w:t xml:space="preserve"> Grande semaine des tout-petits est l’occasion de communiquer et de susciter le </w:t>
      </w:r>
      <w:r w:rsidR="00E03207" w:rsidRPr="00E03207">
        <w:rPr>
          <w:rFonts w:ascii="Calibri" w:hAnsi="Calibri" w:cs="Calibri"/>
          <w:sz w:val="22"/>
          <w:szCs w:val="22"/>
          <w:highlight w:val="white"/>
        </w:rPr>
        <w:t xml:space="preserve">dialogue autour du développement des tout-petits, de mettre en lumière des initiatives locales et régionales qui soutiennent la petite enfance et de mobiliser l’ensemble de la société. </w:t>
      </w:r>
      <w:r w:rsidR="00E03207" w:rsidRPr="00E03207">
        <w:rPr>
          <w:rFonts w:ascii="Calibri" w:hAnsi="Calibri" w:cs="Calibri"/>
          <w:sz w:val="22"/>
          <w:szCs w:val="22"/>
        </w:rPr>
        <w:t xml:space="preserve">Plusieurs activités et événements se déroulent partout au Québec tout au long de la semaine. </w:t>
      </w:r>
    </w:p>
    <w:p w14:paraId="4D1C13A4" w14:textId="492A59A9" w:rsidR="00507A92" w:rsidRPr="00507A92" w:rsidRDefault="00507A92" w:rsidP="00E0320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279C83B" w14:textId="11D5D572" w:rsidR="00507A92" w:rsidRPr="0003749A" w:rsidRDefault="00507A92" w:rsidP="0003749A">
      <w:pPr>
        <w:rPr>
          <w:rFonts w:ascii="Calibri" w:hAnsi="Calibri" w:cs="Calibri"/>
          <w:sz w:val="22"/>
          <w:szCs w:val="22"/>
        </w:rPr>
      </w:pPr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>Facebook :</w:t>
      </w:r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ab/>
        <w:t>facebook.com</w:t>
      </w:r>
      <w:proofErr w:type="gramStart"/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>/</w:t>
      </w:r>
      <w:r w:rsidR="0003749A" w:rsidRPr="00F1302F">
        <w:rPr>
          <w:rFonts w:ascii="Calibri" w:hAnsi="Calibri" w:cs="Calibri"/>
          <w:sz w:val="22"/>
          <w:szCs w:val="22"/>
          <w:highlight w:val="cyan"/>
        </w:rPr>
        <w:t>[</w:t>
      </w:r>
      <w:proofErr w:type="gramEnd"/>
      <w:r w:rsidR="0003749A">
        <w:rPr>
          <w:rFonts w:ascii="Calibri" w:hAnsi="Calibri" w:cs="Calibri"/>
          <w:sz w:val="22"/>
          <w:szCs w:val="22"/>
          <w:highlight w:val="cyan"/>
        </w:rPr>
        <w:t>inclure hyperlien vers la page</w:t>
      </w:r>
      <w:r w:rsidR="0003749A" w:rsidRPr="00F1302F">
        <w:rPr>
          <w:rFonts w:ascii="Calibri" w:hAnsi="Calibri" w:cs="Calibri"/>
          <w:sz w:val="22"/>
          <w:szCs w:val="22"/>
          <w:highlight w:val="cyan"/>
        </w:rPr>
        <w:t xml:space="preserve"> de l’organisation]</w:t>
      </w:r>
    </w:p>
    <w:p w14:paraId="550367F5" w14:textId="73BE10EF" w:rsidR="00507A92" w:rsidRPr="0003749A" w:rsidRDefault="00507A92" w:rsidP="00507A92">
      <w:pPr>
        <w:jc w:val="both"/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>Twitter :</w:t>
      </w:r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ab/>
        <w:t>twitter.com</w:t>
      </w:r>
      <w:proofErr w:type="gramStart"/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>/</w:t>
      </w:r>
      <w:r w:rsidR="0003749A" w:rsidRPr="00F1302F">
        <w:rPr>
          <w:rFonts w:ascii="Calibri" w:hAnsi="Calibri" w:cs="Calibri"/>
          <w:sz w:val="22"/>
          <w:szCs w:val="22"/>
          <w:highlight w:val="cyan"/>
        </w:rPr>
        <w:t>[</w:t>
      </w:r>
      <w:proofErr w:type="gramEnd"/>
      <w:r w:rsidR="0003749A">
        <w:rPr>
          <w:rFonts w:ascii="Calibri" w:hAnsi="Calibri" w:cs="Calibri"/>
          <w:sz w:val="22"/>
          <w:szCs w:val="22"/>
          <w:highlight w:val="cyan"/>
        </w:rPr>
        <w:t>inclure hyperlien vers la page</w:t>
      </w:r>
      <w:r w:rsidR="0003749A" w:rsidRPr="00F1302F">
        <w:rPr>
          <w:rFonts w:ascii="Calibri" w:hAnsi="Calibri" w:cs="Calibri"/>
          <w:sz w:val="22"/>
          <w:szCs w:val="22"/>
          <w:highlight w:val="cyan"/>
        </w:rPr>
        <w:t xml:space="preserve"> de l’organisation]</w:t>
      </w:r>
    </w:p>
    <w:p w14:paraId="78BE957D" w14:textId="7CAA7AAA" w:rsidR="00507A92" w:rsidRPr="0048005B" w:rsidRDefault="00507A92" w:rsidP="00E03207">
      <w:pPr>
        <w:jc w:val="both"/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ab/>
      </w:r>
      <w:r w:rsidRPr="0003749A">
        <w:rPr>
          <w:rFonts w:ascii="Calibri" w:hAnsi="Calibri" w:cs="Calibri"/>
          <w:color w:val="000000" w:themeColor="text1"/>
          <w:sz w:val="22"/>
          <w:szCs w:val="22"/>
          <w:lang w:val="fr-CA"/>
        </w:rPr>
        <w:tab/>
      </w:r>
      <w:r w:rsidR="002E4648" w:rsidRPr="003629D9">
        <w:rPr>
          <w:rFonts w:ascii="Calibri" w:hAnsi="Calibri" w:cs="Calibri"/>
          <w:color w:val="000000" w:themeColor="text1"/>
          <w:sz w:val="22"/>
          <w:szCs w:val="22"/>
          <w:lang w:val="fr-CA"/>
        </w:rPr>
        <w:t>#GSTP</w:t>
      </w:r>
      <w:proofErr w:type="gramStart"/>
      <w:r w:rsidR="00EE25C1" w:rsidRPr="003629D9">
        <w:rPr>
          <w:rFonts w:ascii="Calibri" w:hAnsi="Calibri" w:cs="Calibri"/>
          <w:color w:val="000000" w:themeColor="text1"/>
          <w:sz w:val="22"/>
          <w:szCs w:val="22"/>
          <w:lang w:val="fr-CA"/>
        </w:rPr>
        <w:t>2024</w:t>
      </w:r>
      <w:r w:rsidR="002E4648" w:rsidRPr="003629D9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="00EE25C1" w:rsidRPr="003629D9">
        <w:rPr>
          <w:rFonts w:ascii="Calibri" w:hAnsi="Calibri" w:cs="Calibri"/>
          <w:color w:val="000000" w:themeColor="text1"/>
          <w:sz w:val="22"/>
          <w:szCs w:val="22"/>
          <w:lang w:val="fr-CA"/>
        </w:rPr>
        <w:t xml:space="preserve"> </w:t>
      </w:r>
      <w:r w:rsidRPr="003629D9">
        <w:rPr>
          <w:rFonts w:ascii="Calibri" w:hAnsi="Calibri" w:cs="Calibri"/>
          <w:color w:val="000000" w:themeColor="text1"/>
          <w:sz w:val="22"/>
          <w:szCs w:val="22"/>
          <w:lang w:val="fr-CA"/>
        </w:rPr>
        <w:t>#</w:t>
      </w:r>
      <w:proofErr w:type="gramEnd"/>
      <w:r w:rsidRPr="003629D9">
        <w:rPr>
          <w:rFonts w:ascii="Calibri" w:hAnsi="Calibri" w:cs="Calibri"/>
          <w:color w:val="000000" w:themeColor="text1"/>
          <w:sz w:val="22"/>
          <w:szCs w:val="22"/>
          <w:lang w:val="fr-CA"/>
        </w:rPr>
        <w:t>PrioritéPetiteEnfance</w:t>
      </w:r>
    </w:p>
    <w:p w14:paraId="02B77174" w14:textId="77777777" w:rsidR="00F1302F" w:rsidRPr="00E03207" w:rsidRDefault="00F1302F" w:rsidP="00E03207">
      <w:pPr>
        <w:jc w:val="both"/>
        <w:rPr>
          <w:rFonts w:ascii="Calibri" w:hAnsi="Calibri" w:cs="Calibri"/>
          <w:sz w:val="22"/>
          <w:szCs w:val="22"/>
        </w:rPr>
      </w:pPr>
    </w:p>
    <w:p w14:paraId="56292DF0" w14:textId="77777777" w:rsidR="00E03207" w:rsidRPr="00E03207" w:rsidRDefault="00E03207" w:rsidP="00E03207">
      <w:pPr>
        <w:jc w:val="center"/>
        <w:rPr>
          <w:rFonts w:ascii="Calibri" w:hAnsi="Calibri" w:cs="Calibri"/>
          <w:sz w:val="22"/>
          <w:szCs w:val="22"/>
        </w:rPr>
      </w:pPr>
      <w:r w:rsidRPr="00E03207">
        <w:rPr>
          <w:rFonts w:ascii="Calibri" w:hAnsi="Calibri" w:cs="Calibri"/>
          <w:sz w:val="22"/>
          <w:szCs w:val="22"/>
        </w:rPr>
        <w:t>− 30 –</w:t>
      </w:r>
    </w:p>
    <w:p w14:paraId="04D42EC0" w14:textId="1E514F00" w:rsidR="00E03207" w:rsidRPr="00E03207" w:rsidRDefault="00E03207" w:rsidP="00E03207">
      <w:pPr>
        <w:rPr>
          <w:rFonts w:ascii="Calibri" w:hAnsi="Calibri" w:cs="Calibri"/>
          <w:b/>
          <w:sz w:val="22"/>
          <w:szCs w:val="22"/>
        </w:rPr>
      </w:pPr>
      <w:r w:rsidRPr="00E03207">
        <w:rPr>
          <w:rFonts w:ascii="Calibri" w:hAnsi="Calibri" w:cs="Calibri"/>
          <w:b/>
          <w:sz w:val="22"/>
          <w:szCs w:val="22"/>
        </w:rPr>
        <w:t xml:space="preserve">Renseignements : </w:t>
      </w:r>
    </w:p>
    <w:p w14:paraId="5B123811" w14:textId="77777777" w:rsidR="00E03207" w:rsidRPr="00E03207" w:rsidRDefault="00E03207" w:rsidP="00E03207">
      <w:pPr>
        <w:rPr>
          <w:rFonts w:ascii="Calibri" w:hAnsi="Calibri" w:cs="Calibri"/>
          <w:sz w:val="22"/>
          <w:szCs w:val="22"/>
        </w:rPr>
      </w:pPr>
      <w:r w:rsidRPr="00F1302F">
        <w:rPr>
          <w:rFonts w:ascii="Calibri" w:hAnsi="Calibri" w:cs="Calibri"/>
          <w:sz w:val="22"/>
          <w:szCs w:val="22"/>
          <w:highlight w:val="cyan"/>
        </w:rPr>
        <w:t>[Nom, titre et coordonnées de la personne-ressource pour les médias au sein de l’organisation]</w:t>
      </w:r>
    </w:p>
    <w:p w14:paraId="2DCFFCDD" w14:textId="4CC91CDA" w:rsidR="00266D03" w:rsidRDefault="00266D03" w:rsidP="00A9593C">
      <w:pPr>
        <w:jc w:val="both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14:paraId="2AEBA423" w14:textId="77777777" w:rsidR="008B5E04" w:rsidRPr="00507A92" w:rsidRDefault="008B5E04" w:rsidP="008B5E0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fr-CA"/>
        </w:rPr>
      </w:pPr>
      <w:r w:rsidRPr="00507A92">
        <w:rPr>
          <w:rFonts w:ascii="Calibri" w:hAnsi="Calibri" w:cs="Calibri"/>
          <w:b/>
          <w:color w:val="000000" w:themeColor="text1"/>
          <w:sz w:val="22"/>
          <w:szCs w:val="22"/>
          <w:lang w:val="fr-CA"/>
        </w:rPr>
        <w:t>Données régionales – nombre de tout-petits</w:t>
      </w:r>
    </w:p>
    <w:p w14:paraId="2D04A058" w14:textId="77777777" w:rsidR="008B5E04" w:rsidRPr="00507A92" w:rsidRDefault="008B5E04" w:rsidP="008B5E04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  <w:lang w:val="fr-CA"/>
        </w:rPr>
      </w:pPr>
      <w:r w:rsidRPr="00E71F9A">
        <w:rPr>
          <w:rFonts w:ascii="Calibri" w:hAnsi="Calibri" w:cs="Calibri"/>
          <w:color w:val="000000" w:themeColor="text1"/>
          <w:sz w:val="22"/>
          <w:szCs w:val="22"/>
          <w:lang w:val="fr-CA"/>
        </w:rPr>
        <w:t>Nous vous invitons à utiliser ces données pour compléter vos outils de communication (communiqué, allocution, lettre d’opinion, etc.)</w:t>
      </w:r>
    </w:p>
    <w:p w14:paraId="25880A57" w14:textId="77777777" w:rsidR="008B5E04" w:rsidRPr="00507A92" w:rsidRDefault="008B5E04" w:rsidP="008B5E04">
      <w:pPr>
        <w:spacing w:line="276" w:lineRule="auto"/>
        <w:rPr>
          <w:rFonts w:ascii="Calibri" w:hAnsi="Calibri" w:cs="Calibri"/>
          <w:color w:val="000000" w:themeColor="text1"/>
          <w:sz w:val="22"/>
          <w:szCs w:val="22"/>
          <w:highlight w:val="cyan"/>
          <w:lang w:val="fr-CA"/>
        </w:rPr>
      </w:pPr>
    </w:p>
    <w:p w14:paraId="48C2BF20" w14:textId="77777777" w:rsidR="00EE25C1" w:rsidRPr="003629D9" w:rsidRDefault="00EE25C1" w:rsidP="00EE25C1">
      <w:pPr>
        <w:pStyle w:val="ListParagraph"/>
        <w:spacing w:after="200" w:line="240" w:lineRule="auto"/>
        <w:ind w:left="0"/>
        <w:jc w:val="both"/>
        <w:rPr>
          <w:color w:val="404040" w:themeColor="text1" w:themeTint="BF"/>
        </w:rPr>
      </w:pPr>
      <w:bookmarkStart w:id="0" w:name="_Hlk145575427"/>
      <w:r w:rsidRPr="003629D9">
        <w:rPr>
          <w:color w:val="404040" w:themeColor="text1" w:themeTint="BF"/>
        </w:rPr>
        <w:t>Estimation de la population de 0-5 ans des régions administratives selon l’âge, Québec, 1</w:t>
      </w:r>
      <w:r w:rsidRPr="003629D9">
        <w:rPr>
          <w:color w:val="404040" w:themeColor="text1" w:themeTint="BF"/>
          <w:vertAlign w:val="superscript"/>
        </w:rPr>
        <w:t>er</w:t>
      </w:r>
      <w:r w:rsidRPr="003629D9">
        <w:rPr>
          <w:color w:val="404040" w:themeColor="text1" w:themeTint="BF"/>
        </w:rPr>
        <w:t xml:space="preserve"> juillet 2023.</w:t>
      </w:r>
    </w:p>
    <w:p w14:paraId="722AFA99" w14:textId="77777777" w:rsidR="00EE25C1" w:rsidRPr="003629D9" w:rsidRDefault="00EE25C1" w:rsidP="00EE25C1">
      <w:pPr>
        <w:pBdr>
          <w:top w:val="nil"/>
          <w:left w:val="nil"/>
          <w:bottom w:val="nil"/>
          <w:right w:val="nil"/>
          <w:between w:val="nil"/>
        </w:pBdr>
        <w:ind w:left="1440" w:hanging="144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629D9">
        <w:rPr>
          <w:rFonts w:ascii="Calibri" w:hAnsi="Calibri" w:cs="Calibri"/>
          <w:b/>
          <w:bCs/>
          <w:color w:val="000000"/>
          <w:sz w:val="22"/>
          <w:szCs w:val="22"/>
        </w:rPr>
        <w:t>Prendre note :</w:t>
      </w:r>
      <w:r w:rsidRPr="003629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29D9">
        <w:rPr>
          <w:rFonts w:ascii="Calibri" w:hAnsi="Calibri" w:cs="Calibri"/>
          <w:color w:val="000000"/>
          <w:sz w:val="22"/>
          <w:szCs w:val="22"/>
        </w:rPr>
        <w:tab/>
        <w:t>Pour les régions, le % concerne le nombre d’enfants en lien avec la population totale de la région et non de la population totale du Québec</w:t>
      </w:r>
    </w:p>
    <w:p w14:paraId="31C4879C" w14:textId="77777777" w:rsidR="00EE25C1" w:rsidRPr="003629D9" w:rsidRDefault="00EE25C1" w:rsidP="00EE25C1">
      <w:pPr>
        <w:pStyle w:val="ListParagraph"/>
        <w:spacing w:after="200" w:line="240" w:lineRule="auto"/>
        <w:ind w:left="0"/>
        <w:jc w:val="both"/>
        <w:rPr>
          <w:color w:val="404040" w:themeColor="text1" w:themeTint="BF"/>
        </w:rPr>
      </w:pPr>
    </w:p>
    <w:p w14:paraId="5B93485B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bookmarkStart w:id="1" w:name="_Hlk144197535"/>
      <w:r w:rsidRPr="003629D9">
        <w:t>Bas-Saint-Laurent : 4,8 % de la population, 9 799</w:t>
      </w:r>
    </w:p>
    <w:bookmarkEnd w:id="1"/>
    <w:p w14:paraId="3C4BBF59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Saguenay−Lac-Saint-Jean : 5,4 % de la population, 15 191</w:t>
      </w:r>
    </w:p>
    <w:p w14:paraId="40F88F93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Capitale-Nationale : 5,6 % de la population, 44 333</w:t>
      </w:r>
    </w:p>
    <w:p w14:paraId="1AA8D6DE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Mauricie : 5,1 % de la population, 14 530</w:t>
      </w:r>
    </w:p>
    <w:p w14:paraId="5A47BBAB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Estrie : 5,5 % de la population, 28 219</w:t>
      </w:r>
    </w:p>
    <w:p w14:paraId="0CF771BB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Montréal : 5,7 % de la population, 120 350</w:t>
      </w:r>
    </w:p>
    <w:p w14:paraId="0BD2C7E9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Outaouais : 6,1 % de la population, 25 526</w:t>
      </w:r>
    </w:p>
    <w:p w14:paraId="304BF93B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Abitibi-Témiscamingue : 6,2 % de la population, 9 224</w:t>
      </w:r>
    </w:p>
    <w:p w14:paraId="6DA52020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Côte-Nord : 5,7 % de la population, 5 119</w:t>
      </w:r>
    </w:p>
    <w:p w14:paraId="72CE67B4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Nord-du-Québec : 10,9 % de la population, 5 080</w:t>
      </w:r>
    </w:p>
    <w:p w14:paraId="736D5CCC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Gaspésie–Îles-de-la-Madeleine : 4,6 % de la population, 4 231</w:t>
      </w:r>
    </w:p>
    <w:p w14:paraId="458DFA6A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Chaudière-Appalaches : 5,9 % de la population, 26 418</w:t>
      </w:r>
    </w:p>
    <w:p w14:paraId="72CC9B88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Laval : 5,6 % de la population, 25 200</w:t>
      </w:r>
    </w:p>
    <w:p w14:paraId="2E77A73E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Lanaudière : 6,3 % de la population, 34 702</w:t>
      </w:r>
    </w:p>
    <w:p w14:paraId="3F57D2A9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Laurentides : 6,0 % de la population, 39 700</w:t>
      </w:r>
    </w:p>
    <w:p w14:paraId="27396EC5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Montérégie : 6,1 % de la population, 91 560</w:t>
      </w:r>
    </w:p>
    <w:p w14:paraId="615B3915" w14:textId="77777777" w:rsidR="00EE25C1" w:rsidRPr="003629D9" w:rsidRDefault="00EE25C1" w:rsidP="00EE25C1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3629D9">
        <w:t>Centre-du-Québec : 6,0 % de la population, 15 565</w:t>
      </w:r>
    </w:p>
    <w:p w14:paraId="03A9B958" w14:textId="77777777" w:rsidR="00EE25C1" w:rsidRPr="003629D9" w:rsidRDefault="00EE25C1" w:rsidP="00EE25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3808DD" w14:textId="77777777" w:rsidR="00EE25C1" w:rsidRPr="003629D9" w:rsidRDefault="00EE25C1" w:rsidP="00EE25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3629D9">
        <w:rPr>
          <w:rFonts w:ascii="Calibri" w:eastAsia="Calibri" w:hAnsi="Calibri" w:cs="Calibri"/>
          <w:b/>
          <w:bCs/>
          <w:color w:val="404040" w:themeColor="text1" w:themeTint="BF"/>
          <w:sz w:val="22"/>
          <w:szCs w:val="22"/>
          <w:lang w:val="fr-CA" w:eastAsia="fr-CA"/>
        </w:rPr>
        <w:t>Données provisoires pour 2023</w:t>
      </w:r>
    </w:p>
    <w:p w14:paraId="7DB8B9FB" w14:textId="77777777" w:rsidR="00EE25C1" w:rsidRPr="003629D9" w:rsidRDefault="00EE25C1" w:rsidP="00EE25C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C3DF20" w14:textId="77777777" w:rsidR="00EE25C1" w:rsidRDefault="00EE25C1" w:rsidP="00EE25C1">
      <w:pPr>
        <w:pBdr>
          <w:top w:val="nil"/>
          <w:left w:val="nil"/>
          <w:bottom w:val="nil"/>
          <w:right w:val="nil"/>
          <w:between w:val="nil"/>
        </w:pBdr>
        <w:ind w:left="1440" w:hanging="144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3629D9">
        <w:rPr>
          <w:rFonts w:ascii="Calibri" w:hAnsi="Calibri" w:cs="Calibri"/>
          <w:b/>
          <w:bCs/>
          <w:color w:val="000000"/>
          <w:sz w:val="22"/>
          <w:szCs w:val="22"/>
        </w:rPr>
        <w:t>Sources :</w:t>
      </w:r>
      <w:r w:rsidRPr="003629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29D9">
        <w:rPr>
          <w:rFonts w:ascii="Calibri" w:hAnsi="Calibri" w:cs="Calibri"/>
          <w:color w:val="000000"/>
          <w:sz w:val="22"/>
          <w:szCs w:val="22"/>
        </w:rPr>
        <w:tab/>
        <w:t xml:space="preserve">Statistique Canada, Estimations démographiques annuelles (régions </w:t>
      </w:r>
      <w:proofErr w:type="spellStart"/>
      <w:r w:rsidRPr="003629D9">
        <w:rPr>
          <w:rFonts w:ascii="Calibri" w:hAnsi="Calibri" w:cs="Calibri"/>
          <w:color w:val="000000"/>
          <w:sz w:val="22"/>
          <w:szCs w:val="22"/>
        </w:rPr>
        <w:t>infraprovinciales</w:t>
      </w:r>
      <w:proofErr w:type="spellEnd"/>
      <w:r w:rsidRPr="003629D9">
        <w:rPr>
          <w:rFonts w:ascii="Calibri" w:hAnsi="Calibri" w:cs="Calibri"/>
          <w:color w:val="000000"/>
          <w:sz w:val="22"/>
          <w:szCs w:val="22"/>
        </w:rPr>
        <w:t>, mai 2024). Adapté par l’Institut de la statistique du Québec.</w:t>
      </w:r>
    </w:p>
    <w:bookmarkEnd w:id="0"/>
    <w:p w14:paraId="1F539BBB" w14:textId="77777777" w:rsidR="00EE25C1" w:rsidRPr="00AF72D6" w:rsidRDefault="00EE25C1" w:rsidP="00EE25C1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EE25C1" w:rsidRPr="00AF72D6" w:rsidSect="00ED6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864" w:bottom="806" w:left="864" w:header="144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A401B" w14:textId="77777777" w:rsidR="00C8139C" w:rsidRDefault="00C8139C">
      <w:r>
        <w:separator/>
      </w:r>
    </w:p>
  </w:endnote>
  <w:endnote w:type="continuationSeparator" w:id="0">
    <w:p w14:paraId="374FE7D6" w14:textId="77777777" w:rsidR="00C8139C" w:rsidRDefault="00C8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447F" w14:textId="77777777" w:rsidR="004F6F21" w:rsidRDefault="004F6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6A59A" w14:textId="6AF7081C" w:rsidR="00E80FAA" w:rsidRPr="007F132A" w:rsidRDefault="00E80FAA" w:rsidP="007F132A">
    <w:pPr>
      <w:pStyle w:val="Footer"/>
      <w:jc w:val="center"/>
      <w:rPr>
        <w:rFonts w:ascii="Helvetica" w:hAnsi="Helvetica"/>
        <w:caps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D353" w14:textId="77777777" w:rsidR="004F6F21" w:rsidRDefault="004F6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D243" w14:textId="77777777" w:rsidR="00C8139C" w:rsidRDefault="00C8139C">
      <w:r>
        <w:separator/>
      </w:r>
    </w:p>
  </w:footnote>
  <w:footnote w:type="continuationSeparator" w:id="0">
    <w:p w14:paraId="4EFC44D8" w14:textId="77777777" w:rsidR="00C8139C" w:rsidRDefault="00C8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06829" w14:textId="77777777" w:rsidR="004F6F21" w:rsidRDefault="004F6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102F" w14:textId="77777777" w:rsidR="004F6F21" w:rsidRDefault="004F6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B773" w14:textId="1A1BCB0E" w:rsidR="009840EF" w:rsidRPr="0036798B" w:rsidRDefault="009840EF" w:rsidP="009840EF">
    <w:pPr>
      <w:pStyle w:val="Header"/>
      <w:tabs>
        <w:tab w:val="clear" w:pos="4153"/>
        <w:tab w:val="clear" w:pos="8306"/>
        <w:tab w:val="right" w:pos="10229"/>
      </w:tabs>
      <w:ind w:firstLine="7200"/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73FDD853" wp14:editId="6C60CBCE">
          <wp:simplePos x="0" y="0"/>
          <wp:positionH relativeFrom="column">
            <wp:posOffset>0</wp:posOffset>
          </wp:positionH>
          <wp:positionV relativeFrom="paragraph">
            <wp:posOffset>-314325</wp:posOffset>
          </wp:positionV>
          <wp:extent cx="1476375" cy="714375"/>
          <wp:effectExtent l="0" t="0" r="9525" b="9525"/>
          <wp:wrapNone/>
          <wp:docPr id="4" name="Picture 1" descr="logo_GSTP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STP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98B">
      <w:rPr>
        <w:rFonts w:asciiTheme="majorHAnsi" w:hAnsiTheme="majorHAnsi" w:cstheme="majorHAnsi"/>
        <w:b/>
      </w:rPr>
      <w:t xml:space="preserve">Du </w:t>
    </w:r>
    <w:r w:rsidR="00EE25C1">
      <w:rPr>
        <w:rFonts w:asciiTheme="majorHAnsi" w:hAnsiTheme="majorHAnsi" w:cstheme="majorHAnsi"/>
        <w:b/>
      </w:rPr>
      <w:t>18</w:t>
    </w:r>
    <w:r w:rsidRPr="0036798B">
      <w:rPr>
        <w:rFonts w:asciiTheme="majorHAnsi" w:hAnsiTheme="majorHAnsi" w:cstheme="majorHAnsi"/>
        <w:b/>
      </w:rPr>
      <w:t xml:space="preserve"> au 2</w:t>
    </w:r>
    <w:r w:rsidR="00EE25C1">
      <w:rPr>
        <w:rFonts w:asciiTheme="majorHAnsi" w:hAnsiTheme="majorHAnsi" w:cstheme="majorHAnsi"/>
        <w:b/>
      </w:rPr>
      <w:t>4</w:t>
    </w:r>
    <w:r w:rsidRPr="0036798B">
      <w:rPr>
        <w:rFonts w:asciiTheme="majorHAnsi" w:hAnsiTheme="majorHAnsi" w:cstheme="majorHAnsi"/>
        <w:b/>
      </w:rPr>
      <w:t xml:space="preserve"> novembre 202</w:t>
    </w:r>
    <w:r w:rsidR="00EE25C1">
      <w:rPr>
        <w:rFonts w:asciiTheme="majorHAnsi" w:hAnsiTheme="majorHAnsi" w:cstheme="majorHAnsi"/>
        <w:b/>
      </w:rPr>
      <w:t>4</w:t>
    </w:r>
  </w:p>
  <w:p w14:paraId="78695794" w14:textId="4AD689B8" w:rsidR="00D0003A" w:rsidRDefault="009840EF" w:rsidP="00EC15BA">
    <w:pPr>
      <w:pStyle w:val="Header"/>
      <w:tabs>
        <w:tab w:val="clear" w:pos="4153"/>
        <w:tab w:val="clear" w:pos="8306"/>
        <w:tab w:val="right" w:pos="10229"/>
      </w:tabs>
      <w:jc w:val="right"/>
    </w:pPr>
    <w:r w:rsidRPr="0036798B">
      <w:rPr>
        <w:rFonts w:asciiTheme="majorHAnsi" w:hAnsiTheme="majorHAnsi" w:cstheme="majorHAnsi"/>
        <w:b/>
      </w:rPr>
      <w:tab/>
      <w:t xml:space="preserve">     </w:t>
    </w:r>
    <w:r w:rsidR="00EC15BA">
      <w:rPr>
        <w:rFonts w:asciiTheme="majorHAnsi" w:hAnsiTheme="majorHAnsi" w:cstheme="majorHAnsi"/>
        <w:b/>
      </w:rPr>
      <w:t xml:space="preserve"> </w:t>
    </w:r>
    <w:r w:rsidRPr="0036798B">
      <w:rPr>
        <w:rFonts w:asciiTheme="majorHAnsi" w:hAnsiTheme="majorHAnsi" w:cstheme="majorHAnsi"/>
        <w:b/>
      </w:rPr>
      <w:t>grandesemaine.com</w:t>
    </w:r>
    <w:r w:rsidR="004578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1C6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D6B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6B4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784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A0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16A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52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C0C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2A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F40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E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B261E3"/>
    <w:multiLevelType w:val="hybridMultilevel"/>
    <w:tmpl w:val="322630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D5D02"/>
    <w:multiLevelType w:val="hybridMultilevel"/>
    <w:tmpl w:val="B40A522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5680D"/>
    <w:multiLevelType w:val="hybridMultilevel"/>
    <w:tmpl w:val="F3FA6C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55A"/>
    <w:multiLevelType w:val="multilevel"/>
    <w:tmpl w:val="AC746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B940EC"/>
    <w:multiLevelType w:val="hybridMultilevel"/>
    <w:tmpl w:val="3F7E53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D6A30"/>
    <w:multiLevelType w:val="hybridMultilevel"/>
    <w:tmpl w:val="1FA2EE5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E5332D2"/>
    <w:multiLevelType w:val="hybridMultilevel"/>
    <w:tmpl w:val="DEF05A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B7C98"/>
    <w:multiLevelType w:val="hybridMultilevel"/>
    <w:tmpl w:val="18B678AC"/>
    <w:lvl w:ilvl="0" w:tplc="039276A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0069">
    <w:abstractNumId w:val="10"/>
  </w:num>
  <w:num w:numId="2" w16cid:durableId="515577323">
    <w:abstractNumId w:val="8"/>
  </w:num>
  <w:num w:numId="3" w16cid:durableId="799613592">
    <w:abstractNumId w:val="7"/>
  </w:num>
  <w:num w:numId="4" w16cid:durableId="2074310179">
    <w:abstractNumId w:val="6"/>
  </w:num>
  <w:num w:numId="5" w16cid:durableId="657071894">
    <w:abstractNumId w:val="5"/>
  </w:num>
  <w:num w:numId="6" w16cid:durableId="1256130790">
    <w:abstractNumId w:val="9"/>
  </w:num>
  <w:num w:numId="7" w16cid:durableId="816259637">
    <w:abstractNumId w:val="4"/>
  </w:num>
  <w:num w:numId="8" w16cid:durableId="1866169948">
    <w:abstractNumId w:val="3"/>
  </w:num>
  <w:num w:numId="9" w16cid:durableId="276062662">
    <w:abstractNumId w:val="2"/>
  </w:num>
  <w:num w:numId="10" w16cid:durableId="274562487">
    <w:abstractNumId w:val="1"/>
  </w:num>
  <w:num w:numId="11" w16cid:durableId="513571338">
    <w:abstractNumId w:val="0"/>
  </w:num>
  <w:num w:numId="12" w16cid:durableId="1354067817">
    <w:abstractNumId w:val="14"/>
  </w:num>
  <w:num w:numId="13" w16cid:durableId="1790276465">
    <w:abstractNumId w:val="16"/>
  </w:num>
  <w:num w:numId="14" w16cid:durableId="1204055843">
    <w:abstractNumId w:val="11"/>
  </w:num>
  <w:num w:numId="15" w16cid:durableId="1141996966">
    <w:abstractNumId w:val="18"/>
  </w:num>
  <w:num w:numId="16" w16cid:durableId="378556051">
    <w:abstractNumId w:val="17"/>
  </w:num>
  <w:num w:numId="17" w16cid:durableId="559249230">
    <w:abstractNumId w:val="15"/>
  </w:num>
  <w:num w:numId="18" w16cid:durableId="890535721">
    <w:abstractNumId w:val="12"/>
  </w:num>
  <w:num w:numId="19" w16cid:durableId="1952664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fr-CA" w:vendorID="64" w:dllVersion="4096" w:nlCheck="1" w:checkStyle="0"/>
  <w:activeWritingStyle w:appName="MSWord" w:lang="fr-CA" w:vendorID="64" w:dllVersion="6" w:nlCheck="1" w:checkStyle="0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0"/>
    <w:rsid w:val="0001497B"/>
    <w:rsid w:val="0003749A"/>
    <w:rsid w:val="0004099F"/>
    <w:rsid w:val="00044385"/>
    <w:rsid w:val="00047F58"/>
    <w:rsid w:val="00080956"/>
    <w:rsid w:val="0009454B"/>
    <w:rsid w:val="000A20C1"/>
    <w:rsid w:val="000A26D6"/>
    <w:rsid w:val="000A4305"/>
    <w:rsid w:val="000A5C6F"/>
    <w:rsid w:val="000A6641"/>
    <w:rsid w:val="00100D86"/>
    <w:rsid w:val="00152A85"/>
    <w:rsid w:val="00154687"/>
    <w:rsid w:val="00163155"/>
    <w:rsid w:val="00174E0C"/>
    <w:rsid w:val="00176D15"/>
    <w:rsid w:val="00186382"/>
    <w:rsid w:val="00193D4E"/>
    <w:rsid w:val="001A0D9C"/>
    <w:rsid w:val="001E5FA1"/>
    <w:rsid w:val="001F6F74"/>
    <w:rsid w:val="00205102"/>
    <w:rsid w:val="0021050C"/>
    <w:rsid w:val="00210F37"/>
    <w:rsid w:val="00217462"/>
    <w:rsid w:val="00221202"/>
    <w:rsid w:val="00240C15"/>
    <w:rsid w:val="00250EDD"/>
    <w:rsid w:val="002530AF"/>
    <w:rsid w:val="00266D03"/>
    <w:rsid w:val="002A60BF"/>
    <w:rsid w:val="002D4E78"/>
    <w:rsid w:val="002E0AA7"/>
    <w:rsid w:val="002E1F79"/>
    <w:rsid w:val="002E4648"/>
    <w:rsid w:val="00304E2F"/>
    <w:rsid w:val="00345E03"/>
    <w:rsid w:val="00351100"/>
    <w:rsid w:val="00354F19"/>
    <w:rsid w:val="003629D9"/>
    <w:rsid w:val="00367148"/>
    <w:rsid w:val="0037727C"/>
    <w:rsid w:val="00383CD4"/>
    <w:rsid w:val="003B3843"/>
    <w:rsid w:val="003B4CA0"/>
    <w:rsid w:val="003B4E1A"/>
    <w:rsid w:val="003C0105"/>
    <w:rsid w:val="003E67F7"/>
    <w:rsid w:val="00442873"/>
    <w:rsid w:val="00445027"/>
    <w:rsid w:val="0045784A"/>
    <w:rsid w:val="00463748"/>
    <w:rsid w:val="0048005B"/>
    <w:rsid w:val="00481205"/>
    <w:rsid w:val="00483401"/>
    <w:rsid w:val="00484138"/>
    <w:rsid w:val="00484C0F"/>
    <w:rsid w:val="004A435C"/>
    <w:rsid w:val="004A5822"/>
    <w:rsid w:val="004D51BA"/>
    <w:rsid w:val="004F6F21"/>
    <w:rsid w:val="00507A92"/>
    <w:rsid w:val="00535058"/>
    <w:rsid w:val="00547B19"/>
    <w:rsid w:val="005553A6"/>
    <w:rsid w:val="005634FC"/>
    <w:rsid w:val="005667B5"/>
    <w:rsid w:val="005742BD"/>
    <w:rsid w:val="00574427"/>
    <w:rsid w:val="00575D07"/>
    <w:rsid w:val="00575DFB"/>
    <w:rsid w:val="00581286"/>
    <w:rsid w:val="00596A19"/>
    <w:rsid w:val="005D2CA2"/>
    <w:rsid w:val="005E6FA9"/>
    <w:rsid w:val="0065138C"/>
    <w:rsid w:val="00674F4F"/>
    <w:rsid w:val="006774A1"/>
    <w:rsid w:val="006816E9"/>
    <w:rsid w:val="006976AF"/>
    <w:rsid w:val="006A5CFA"/>
    <w:rsid w:val="006B772C"/>
    <w:rsid w:val="006E723D"/>
    <w:rsid w:val="006F0EF5"/>
    <w:rsid w:val="006F7C07"/>
    <w:rsid w:val="00712CEA"/>
    <w:rsid w:val="0072330A"/>
    <w:rsid w:val="00741EE7"/>
    <w:rsid w:val="007655AD"/>
    <w:rsid w:val="00770CCE"/>
    <w:rsid w:val="00783307"/>
    <w:rsid w:val="00786B94"/>
    <w:rsid w:val="007901A5"/>
    <w:rsid w:val="007B4276"/>
    <w:rsid w:val="007F132A"/>
    <w:rsid w:val="00815809"/>
    <w:rsid w:val="0082449B"/>
    <w:rsid w:val="00834424"/>
    <w:rsid w:val="008B5E04"/>
    <w:rsid w:val="008C2D28"/>
    <w:rsid w:val="008D19E8"/>
    <w:rsid w:val="008E4763"/>
    <w:rsid w:val="00903A82"/>
    <w:rsid w:val="00904802"/>
    <w:rsid w:val="0091342F"/>
    <w:rsid w:val="00920FB9"/>
    <w:rsid w:val="0093341A"/>
    <w:rsid w:val="00943900"/>
    <w:rsid w:val="009840EF"/>
    <w:rsid w:val="00986DFD"/>
    <w:rsid w:val="0099071B"/>
    <w:rsid w:val="009C7F65"/>
    <w:rsid w:val="00A15204"/>
    <w:rsid w:val="00A413BE"/>
    <w:rsid w:val="00A443EE"/>
    <w:rsid w:val="00A50B0B"/>
    <w:rsid w:val="00A571A2"/>
    <w:rsid w:val="00A6241F"/>
    <w:rsid w:val="00A878E2"/>
    <w:rsid w:val="00A9593C"/>
    <w:rsid w:val="00AA4D4D"/>
    <w:rsid w:val="00AF009C"/>
    <w:rsid w:val="00AF36E4"/>
    <w:rsid w:val="00AF7094"/>
    <w:rsid w:val="00B21C2E"/>
    <w:rsid w:val="00B92D54"/>
    <w:rsid w:val="00BB7657"/>
    <w:rsid w:val="00C36001"/>
    <w:rsid w:val="00C36957"/>
    <w:rsid w:val="00C47419"/>
    <w:rsid w:val="00C628F8"/>
    <w:rsid w:val="00C70C3A"/>
    <w:rsid w:val="00C8139C"/>
    <w:rsid w:val="00C911B2"/>
    <w:rsid w:val="00CA6B96"/>
    <w:rsid w:val="00CB714A"/>
    <w:rsid w:val="00CC4DB2"/>
    <w:rsid w:val="00CD02F5"/>
    <w:rsid w:val="00CD2FAD"/>
    <w:rsid w:val="00CD4207"/>
    <w:rsid w:val="00CF1534"/>
    <w:rsid w:val="00CF20B3"/>
    <w:rsid w:val="00CF7E0A"/>
    <w:rsid w:val="00D0003A"/>
    <w:rsid w:val="00D46AE8"/>
    <w:rsid w:val="00D66154"/>
    <w:rsid w:val="00D90B02"/>
    <w:rsid w:val="00D96AF3"/>
    <w:rsid w:val="00DA03E1"/>
    <w:rsid w:val="00DA321F"/>
    <w:rsid w:val="00DA4960"/>
    <w:rsid w:val="00DB2B29"/>
    <w:rsid w:val="00DB7A66"/>
    <w:rsid w:val="00DD3ADA"/>
    <w:rsid w:val="00DF44E1"/>
    <w:rsid w:val="00E03207"/>
    <w:rsid w:val="00E13E8C"/>
    <w:rsid w:val="00E17733"/>
    <w:rsid w:val="00E17B4D"/>
    <w:rsid w:val="00E47B74"/>
    <w:rsid w:val="00E6400C"/>
    <w:rsid w:val="00E71F9A"/>
    <w:rsid w:val="00E744E6"/>
    <w:rsid w:val="00E80FAA"/>
    <w:rsid w:val="00E910B6"/>
    <w:rsid w:val="00EC15BA"/>
    <w:rsid w:val="00ED6F53"/>
    <w:rsid w:val="00EE25C1"/>
    <w:rsid w:val="00EE7E2B"/>
    <w:rsid w:val="00EF7C4E"/>
    <w:rsid w:val="00F03DEF"/>
    <w:rsid w:val="00F10006"/>
    <w:rsid w:val="00F1302F"/>
    <w:rsid w:val="00F43FBF"/>
    <w:rsid w:val="00F45514"/>
    <w:rsid w:val="00F54B19"/>
    <w:rsid w:val="00F9581A"/>
    <w:rsid w:val="00FA1ADA"/>
    <w:rsid w:val="00FB4954"/>
    <w:rsid w:val="00FE1D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BB5FA3"/>
  <w15:docId w15:val="{B99F2477-41C2-0641-8B96-F3CB9C2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00"/>
  </w:style>
  <w:style w:type="paragraph" w:styleId="Footer">
    <w:name w:val="footer"/>
    <w:basedOn w:val="Normal"/>
    <w:link w:val="Foot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00"/>
  </w:style>
  <w:style w:type="character" w:styleId="Hyperlink">
    <w:name w:val="Hyperlink"/>
    <w:basedOn w:val="DefaultParagraphFont"/>
    <w:rsid w:val="007F1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34FC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3207"/>
    <w:pPr>
      <w:spacing w:after="160"/>
    </w:pPr>
    <w:rPr>
      <w:rFonts w:ascii="Calibri" w:eastAsia="Calibri" w:hAnsi="Calibri" w:cs="Calibri"/>
      <w:sz w:val="20"/>
      <w:szCs w:val="20"/>
      <w:lang w:val="fr-CA" w:eastAsia="fr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207"/>
    <w:rPr>
      <w:rFonts w:ascii="Calibri" w:eastAsia="Calibri" w:hAnsi="Calibri" w:cs="Calibri"/>
      <w:sz w:val="20"/>
      <w:szCs w:val="20"/>
      <w:lang w:val="fr-CA"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E0320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320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5E04"/>
    <w:pPr>
      <w:spacing w:after="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B5E04"/>
    <w:rPr>
      <w:rFonts w:ascii="Calibri" w:eastAsia="Calibri" w:hAnsi="Calibri" w:cs="Calibri"/>
      <w:b/>
      <w:bCs/>
      <w:sz w:val="20"/>
      <w:szCs w:val="20"/>
      <w:lang w:val="fr-CA" w:eastAsia="fr-CA"/>
    </w:rPr>
  </w:style>
  <w:style w:type="paragraph" w:styleId="Revision">
    <w:name w:val="Revision"/>
    <w:hidden/>
    <w:semiHidden/>
    <w:rsid w:val="00507A92"/>
  </w:style>
  <w:style w:type="paragraph" w:customStyle="1" w:styleId="pf0">
    <w:name w:val="pf0"/>
    <w:basedOn w:val="Normal"/>
    <w:rsid w:val="005E6F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esemaine.com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BCCFE-986A-4367-B7F1-5534F6829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7B165-A593-4CA4-B829-BE93EB27433D}"/>
</file>

<file path=customXml/itemProps3.xml><?xml version="1.0" encoding="utf-8"?>
<ds:datastoreItem xmlns:ds="http://schemas.openxmlformats.org/officeDocument/2006/customXml" ds:itemID="{8E6DDF19-856D-4C7A-9D0D-72F93C3AD88E}"/>
</file>

<file path=customXml/itemProps4.xml><?xml version="1.0" encoding="utf-8"?>
<ds:datastoreItem xmlns:ds="http://schemas.openxmlformats.org/officeDocument/2006/customXml" ds:itemID="{51637074-067E-4049-BF14-188A275D9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795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Josée Massicotte</cp:lastModifiedBy>
  <cp:revision>10</cp:revision>
  <cp:lastPrinted>2015-01-22T14:26:00Z</cp:lastPrinted>
  <dcterms:created xsi:type="dcterms:W3CDTF">2024-08-29T21:04:00Z</dcterms:created>
  <dcterms:modified xsi:type="dcterms:W3CDTF">2024-10-02T13:49:00Z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